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333A8E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53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8FE">
              <w:rPr>
                <w:sz w:val="14"/>
                <w:szCs w:val="24"/>
              </w:rPr>
              <w:br/>
              <w:t xml:space="preserve">d44682f5ca4b4df8a1b7ac606e602605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БЮДЖЕТНОЕ ПРОФЕССИОНАЛЬНОЕ ОБРАЗОВАТЕЛЬНОЕ УЧРЕЖДЕНИЕ "ЗЛАТОУСТОВСКИЙ МЕДИЦИНСКИЙ ТЕХНИКУМ"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об изменении сведений о юридическом лице, содержащихся в Едином государственном реестре юридических лиц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18.14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брошюровочно- переплетная и отделочная и сопутствующие услуги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виды полиграфической деятельности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1027400582395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ИВАНОВА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ЮЛИЯ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740409311426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740409311426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ЗАЯВЛЕНИЕ ПО ФОРМЕ Р14001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37968А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15.10.2020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17 по Челябинской области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Шилоносова Танзиля Радифовна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DA68FE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DA6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FE" w:rsidRDefault="00333A8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41600" cy="11430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8FE" w:rsidRDefault="00DA68FE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DA68FE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69" w:rsidRDefault="002F5469">
      <w:r>
        <w:separator/>
      </w:r>
    </w:p>
  </w:endnote>
  <w:endnote w:type="continuationSeparator" w:id="0">
    <w:p w:rsidR="002F5469" w:rsidRDefault="002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DA68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69" w:rsidRDefault="002F5469">
      <w:r>
        <w:separator/>
      </w:r>
    </w:p>
  </w:footnote>
  <w:footnote w:type="continuationSeparator" w:id="0">
    <w:p w:rsidR="002F5469" w:rsidRDefault="002F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D0"/>
    <w:rsid w:val="00042FCD"/>
    <w:rsid w:val="000A1099"/>
    <w:rsid w:val="002F5469"/>
    <w:rsid w:val="00333A8E"/>
    <w:rsid w:val="003561C1"/>
    <w:rsid w:val="00B650D0"/>
    <w:rsid w:val="00B807EA"/>
    <w:rsid w:val="00DA68FE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583C3F-478C-9946-9EDA-12DCD3D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Пользователь Microsoft Office</cp:lastModifiedBy>
  <cp:revision>2</cp:revision>
  <cp:lastPrinted>2020-10-23T09:37:00Z</cp:lastPrinted>
  <dcterms:created xsi:type="dcterms:W3CDTF">2020-11-13T15:59:00Z</dcterms:created>
  <dcterms:modified xsi:type="dcterms:W3CDTF">2020-11-13T15:59:00Z</dcterms:modified>
</cp:coreProperties>
</file>